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0B6" w:rsidRDefault="003130B6" w:rsidP="00FE0AF3">
      <w:pPr>
        <w:jc w:val="both"/>
        <w:rPr>
          <w:rFonts w:ascii="Maiandra GD" w:eastAsia="Times New Roman" w:hAnsi="Maiandra GD" w:cs="Times New Roman"/>
          <w:b/>
          <w:bCs/>
          <w:color w:val="000000"/>
          <w:lang w:eastAsia="en-GB"/>
        </w:rPr>
      </w:pPr>
    </w:p>
    <w:p w:rsidR="004868B1" w:rsidRPr="003130B6" w:rsidRDefault="00711F2B" w:rsidP="003130B6">
      <w:pPr>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en-GB"/>
        </w:rPr>
        <w:t xml:space="preserve">Appendix E2 - </w:t>
      </w:r>
      <w:r w:rsidR="003130B6" w:rsidRPr="003130B6">
        <w:rPr>
          <w:rFonts w:ascii="Times New Roman" w:eastAsia="Times New Roman" w:hAnsi="Times New Roman" w:cs="Times New Roman"/>
          <w:b/>
          <w:bCs/>
          <w:color w:val="000000"/>
          <w:sz w:val="24"/>
          <w:szCs w:val="24"/>
          <w:lang w:eastAsia="en-GB"/>
        </w:rPr>
        <w:t>Regional Action Plan for Removing Deficiencies related to the Missing OPMET data in the AFI Region</w:t>
      </w:r>
      <w:r w:rsidR="003130B6" w:rsidRPr="003130B6">
        <w:rPr>
          <w:rFonts w:ascii="Times New Roman" w:eastAsia="Times New Roman" w:hAnsi="Times New Roman" w:cs="Times New Roman"/>
          <w:b/>
          <w:bCs/>
          <w:color w:val="000000"/>
          <w:sz w:val="24"/>
          <w:szCs w:val="24"/>
          <w:lang w:eastAsia="en-GB"/>
        </w:rPr>
        <w:br/>
      </w:r>
      <w:r w:rsidR="003130B6" w:rsidRPr="003130B6">
        <w:rPr>
          <w:rFonts w:ascii="Times New Roman" w:eastAsia="Times New Roman" w:hAnsi="Times New Roman" w:cs="Times New Roman"/>
          <w:b/>
          <w:bCs/>
          <w:i/>
          <w:iCs/>
          <w:color w:val="000000"/>
          <w:sz w:val="24"/>
          <w:szCs w:val="24"/>
          <w:lang w:eastAsia="en-GB"/>
        </w:rPr>
        <w:t>(Source : AFI Regional Meeting on the "Missing OPMET data in the AFI Region, Virtual, 21 June 2021)</w:t>
      </w:r>
    </w:p>
    <w:p w:rsidR="003130B6" w:rsidRDefault="003130B6" w:rsidP="00FE0AF3">
      <w:pPr>
        <w:jc w:val="both"/>
      </w:pPr>
    </w:p>
    <w:tbl>
      <w:tblPr>
        <w:tblW w:w="148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600"/>
        <w:gridCol w:w="2784"/>
        <w:gridCol w:w="2126"/>
        <w:gridCol w:w="2936"/>
        <w:gridCol w:w="1928"/>
        <w:gridCol w:w="3074"/>
      </w:tblGrid>
      <w:tr w:rsidR="003130B6" w:rsidRPr="00FE0AF3" w:rsidTr="00BA37CC">
        <w:trPr>
          <w:trHeight w:val="280"/>
          <w:tblHeader/>
        </w:trPr>
        <w:tc>
          <w:tcPr>
            <w:tcW w:w="436" w:type="dxa"/>
            <w:shd w:val="clear" w:color="auto" w:fill="BDD6EE" w:themeFill="accent1" w:themeFillTint="66"/>
            <w:vAlign w:val="center"/>
            <w:hideMark/>
          </w:tcPr>
          <w:p w:rsidR="003130B6" w:rsidRPr="00FE0AF3" w:rsidRDefault="003130B6" w:rsidP="0014623F">
            <w:pPr>
              <w:spacing w:after="0" w:line="240" w:lineRule="auto"/>
              <w:jc w:val="center"/>
              <w:rPr>
                <w:rFonts w:ascii="Times New Roman" w:eastAsia="Times New Roman" w:hAnsi="Times New Roman" w:cs="Times New Roman"/>
                <w:b/>
                <w:bCs/>
                <w:color w:val="000000"/>
                <w:lang w:eastAsia="en-GB"/>
              </w:rPr>
            </w:pPr>
            <w:r w:rsidRPr="00FE0AF3">
              <w:rPr>
                <w:rFonts w:ascii="Times New Roman" w:eastAsia="Times New Roman" w:hAnsi="Times New Roman" w:cs="Times New Roman"/>
                <w:b/>
                <w:bCs/>
                <w:color w:val="000000"/>
                <w:lang w:eastAsia="en-GB"/>
              </w:rPr>
              <w:t>#</w:t>
            </w:r>
          </w:p>
        </w:tc>
        <w:tc>
          <w:tcPr>
            <w:tcW w:w="1600" w:type="dxa"/>
            <w:shd w:val="clear" w:color="auto" w:fill="BDD6EE" w:themeFill="accent1" w:themeFillTint="66"/>
            <w:noWrap/>
            <w:vAlign w:val="center"/>
            <w:hideMark/>
          </w:tcPr>
          <w:p w:rsidR="003130B6" w:rsidRPr="00FE0AF3" w:rsidRDefault="003130B6" w:rsidP="0014623F">
            <w:pPr>
              <w:spacing w:after="0" w:line="240" w:lineRule="auto"/>
              <w:jc w:val="center"/>
              <w:rPr>
                <w:rFonts w:ascii="Times New Roman" w:eastAsia="Times New Roman" w:hAnsi="Times New Roman" w:cs="Times New Roman"/>
                <w:b/>
                <w:bCs/>
                <w:color w:val="000000"/>
                <w:lang w:eastAsia="en-GB"/>
              </w:rPr>
            </w:pPr>
            <w:r w:rsidRPr="00FE0AF3">
              <w:rPr>
                <w:rFonts w:ascii="Times New Roman" w:eastAsia="Times New Roman" w:hAnsi="Times New Roman" w:cs="Times New Roman"/>
                <w:b/>
                <w:bCs/>
                <w:color w:val="000000"/>
                <w:lang w:eastAsia="en-GB"/>
              </w:rPr>
              <w:t>Challenges /Issues</w:t>
            </w:r>
          </w:p>
        </w:tc>
        <w:tc>
          <w:tcPr>
            <w:tcW w:w="2784" w:type="dxa"/>
            <w:shd w:val="clear" w:color="auto" w:fill="BDD6EE" w:themeFill="accent1" w:themeFillTint="66"/>
            <w:noWrap/>
            <w:vAlign w:val="center"/>
            <w:hideMark/>
          </w:tcPr>
          <w:p w:rsidR="003130B6" w:rsidRPr="00FE0AF3" w:rsidRDefault="003130B6" w:rsidP="0014623F">
            <w:pPr>
              <w:spacing w:after="0" w:line="240" w:lineRule="auto"/>
              <w:jc w:val="center"/>
              <w:rPr>
                <w:rFonts w:ascii="Times New Roman" w:eastAsia="Times New Roman" w:hAnsi="Times New Roman" w:cs="Times New Roman"/>
                <w:b/>
                <w:bCs/>
                <w:color w:val="000000"/>
                <w:lang w:eastAsia="en-GB"/>
              </w:rPr>
            </w:pPr>
            <w:r w:rsidRPr="00FE0AF3">
              <w:rPr>
                <w:rFonts w:ascii="Times New Roman" w:eastAsia="Times New Roman" w:hAnsi="Times New Roman" w:cs="Times New Roman"/>
                <w:b/>
                <w:bCs/>
                <w:color w:val="000000"/>
                <w:lang w:eastAsia="en-GB"/>
              </w:rPr>
              <w:t>Actions to be taken</w:t>
            </w:r>
          </w:p>
        </w:tc>
        <w:tc>
          <w:tcPr>
            <w:tcW w:w="2126" w:type="dxa"/>
            <w:shd w:val="clear" w:color="auto" w:fill="BDD6EE" w:themeFill="accent1" w:themeFillTint="66"/>
            <w:noWrap/>
            <w:vAlign w:val="center"/>
            <w:hideMark/>
          </w:tcPr>
          <w:p w:rsidR="003130B6" w:rsidRPr="00FE0AF3" w:rsidRDefault="003130B6" w:rsidP="0014623F">
            <w:pPr>
              <w:spacing w:after="0" w:line="240" w:lineRule="auto"/>
              <w:jc w:val="center"/>
              <w:rPr>
                <w:rFonts w:ascii="Times New Roman" w:eastAsia="Times New Roman" w:hAnsi="Times New Roman" w:cs="Times New Roman"/>
                <w:b/>
                <w:bCs/>
                <w:color w:val="000000"/>
                <w:lang w:eastAsia="en-GB"/>
              </w:rPr>
            </w:pPr>
            <w:r w:rsidRPr="00FE0AF3">
              <w:rPr>
                <w:rFonts w:ascii="Times New Roman" w:eastAsia="Times New Roman" w:hAnsi="Times New Roman" w:cs="Times New Roman"/>
                <w:b/>
                <w:bCs/>
                <w:color w:val="000000"/>
                <w:lang w:eastAsia="en-GB"/>
              </w:rPr>
              <w:t>Deliverables</w:t>
            </w:r>
          </w:p>
        </w:tc>
        <w:tc>
          <w:tcPr>
            <w:tcW w:w="2936" w:type="dxa"/>
            <w:shd w:val="clear" w:color="auto" w:fill="BDD6EE" w:themeFill="accent1" w:themeFillTint="66"/>
            <w:noWrap/>
            <w:vAlign w:val="center"/>
            <w:hideMark/>
          </w:tcPr>
          <w:p w:rsidR="003130B6" w:rsidRPr="00FE0AF3" w:rsidRDefault="003130B6" w:rsidP="0014623F">
            <w:pPr>
              <w:spacing w:after="0" w:line="240" w:lineRule="auto"/>
              <w:jc w:val="center"/>
              <w:rPr>
                <w:rFonts w:ascii="Times New Roman" w:eastAsia="Times New Roman" w:hAnsi="Times New Roman" w:cs="Times New Roman"/>
                <w:b/>
                <w:bCs/>
                <w:color w:val="000000"/>
                <w:lang w:eastAsia="en-GB"/>
              </w:rPr>
            </w:pPr>
            <w:r w:rsidRPr="00FE0AF3">
              <w:rPr>
                <w:rFonts w:ascii="Times New Roman" w:eastAsia="Times New Roman" w:hAnsi="Times New Roman" w:cs="Times New Roman"/>
                <w:b/>
                <w:bCs/>
                <w:color w:val="000000"/>
                <w:lang w:eastAsia="en-GB"/>
              </w:rPr>
              <w:t>Responsibility</w:t>
            </w:r>
          </w:p>
        </w:tc>
        <w:tc>
          <w:tcPr>
            <w:tcW w:w="1928" w:type="dxa"/>
            <w:shd w:val="clear" w:color="auto" w:fill="BDD6EE" w:themeFill="accent1" w:themeFillTint="66"/>
            <w:noWrap/>
            <w:vAlign w:val="center"/>
            <w:hideMark/>
          </w:tcPr>
          <w:p w:rsidR="003130B6" w:rsidRPr="00FE0AF3" w:rsidRDefault="003130B6" w:rsidP="0014623F">
            <w:pPr>
              <w:spacing w:after="0" w:line="240" w:lineRule="auto"/>
              <w:ind w:right="795"/>
              <w:jc w:val="center"/>
              <w:rPr>
                <w:rFonts w:ascii="Times New Roman" w:eastAsia="Times New Roman" w:hAnsi="Times New Roman" w:cs="Times New Roman"/>
                <w:b/>
                <w:bCs/>
                <w:color w:val="000000"/>
                <w:lang w:eastAsia="en-GB"/>
              </w:rPr>
            </w:pPr>
            <w:r w:rsidRPr="00FE0AF3">
              <w:rPr>
                <w:rFonts w:ascii="Times New Roman" w:eastAsia="Times New Roman" w:hAnsi="Times New Roman" w:cs="Times New Roman"/>
                <w:b/>
                <w:bCs/>
                <w:color w:val="000000"/>
                <w:lang w:eastAsia="en-GB"/>
              </w:rPr>
              <w:t>Deadlines</w:t>
            </w:r>
          </w:p>
        </w:tc>
        <w:tc>
          <w:tcPr>
            <w:tcW w:w="3074" w:type="dxa"/>
            <w:shd w:val="clear" w:color="auto" w:fill="BDD6EE" w:themeFill="accent1" w:themeFillTint="66"/>
            <w:noWrap/>
            <w:vAlign w:val="center"/>
            <w:hideMark/>
          </w:tcPr>
          <w:p w:rsidR="003130B6" w:rsidRPr="00FE0AF3" w:rsidRDefault="003130B6" w:rsidP="0014623F">
            <w:pPr>
              <w:spacing w:after="0" w:line="240" w:lineRule="auto"/>
              <w:jc w:val="center"/>
              <w:rPr>
                <w:rFonts w:ascii="Times New Roman" w:eastAsia="Times New Roman" w:hAnsi="Times New Roman" w:cs="Times New Roman"/>
                <w:b/>
                <w:bCs/>
                <w:color w:val="000000"/>
                <w:lang w:eastAsia="en-GB"/>
              </w:rPr>
            </w:pPr>
            <w:r w:rsidRPr="00FE0AF3">
              <w:rPr>
                <w:rFonts w:ascii="Times New Roman" w:eastAsia="Times New Roman" w:hAnsi="Times New Roman" w:cs="Times New Roman"/>
                <w:b/>
                <w:bCs/>
                <w:color w:val="000000"/>
                <w:lang w:eastAsia="en-GB"/>
              </w:rPr>
              <w:t>Comments</w:t>
            </w:r>
          </w:p>
        </w:tc>
      </w:tr>
      <w:tr w:rsidR="003130B6" w:rsidRPr="003130B6" w:rsidTr="00EA357D">
        <w:trPr>
          <w:trHeight w:val="364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1</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Wrong origin indicators or addresses of the messages</w:t>
            </w:r>
          </w:p>
        </w:tc>
        <w:tc>
          <w:tcPr>
            <w:tcW w:w="2784" w:type="dxa"/>
            <w:shd w:val="clear" w:color="000000" w:fill="FFFFFF"/>
            <w:hideMark/>
          </w:tcPr>
          <w:p w:rsidR="00A72F0E" w:rsidRDefault="00A72F0E" w:rsidP="00A72F0E">
            <w:pPr>
              <w:pStyle w:val="Paragraphedeliste"/>
              <w:numPr>
                <w:ilvl w:val="0"/>
                <w:numId w:val="1"/>
              </w:numPr>
              <w:spacing w:before="120" w:after="120" w:line="240" w:lineRule="auto"/>
              <w:ind w:left="357" w:hanging="357"/>
              <w:contextualSpacing w:val="0"/>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E</w:t>
            </w:r>
            <w:r w:rsidR="003130B6" w:rsidRPr="003130B6">
              <w:rPr>
                <w:rFonts w:ascii="Times New Roman" w:eastAsia="Times New Roman" w:hAnsi="Times New Roman" w:cs="Times New Roman"/>
                <w:color w:val="000000"/>
                <w:lang w:eastAsia="en-GB"/>
              </w:rPr>
              <w:t>stablish a mechanism of collaboration between Met Services, BCCs and RODBs.</w:t>
            </w:r>
            <w:bookmarkStart w:id="0" w:name="_GoBack"/>
            <w:bookmarkEnd w:id="0"/>
          </w:p>
          <w:p w:rsidR="00A72F0E" w:rsidRDefault="003130B6" w:rsidP="00A72F0E">
            <w:pPr>
              <w:pStyle w:val="Paragraphedeliste"/>
              <w:numPr>
                <w:ilvl w:val="0"/>
                <w:numId w:val="1"/>
              </w:numPr>
              <w:spacing w:before="120" w:after="120" w:line="240" w:lineRule="auto"/>
              <w:ind w:left="357" w:hanging="357"/>
              <w:contextualSpacing w:val="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Provide a training on Aeronautical fixed service for meteorological officers (Annex 3) as needed.</w:t>
            </w:r>
          </w:p>
          <w:p w:rsidR="003130B6" w:rsidRPr="003130B6" w:rsidRDefault="003130B6" w:rsidP="00A72F0E">
            <w:pPr>
              <w:pStyle w:val="Paragraphedeliste"/>
              <w:numPr>
                <w:ilvl w:val="0"/>
                <w:numId w:val="1"/>
              </w:numPr>
              <w:spacing w:before="120" w:after="120" w:line="240" w:lineRule="auto"/>
              <w:ind w:left="357" w:hanging="357"/>
              <w:contextualSpacing w:val="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Encourage States to improve internal communication amongst aviation stakeholders in case they are any changes</w:t>
            </w:r>
          </w:p>
        </w:tc>
        <w:tc>
          <w:tcPr>
            <w:tcW w:w="2126" w:type="dxa"/>
            <w:shd w:val="clear" w:color="000000" w:fill="FFFFFF"/>
            <w:hideMark/>
          </w:tcPr>
          <w:p w:rsidR="003130B6" w:rsidRPr="003130B6" w:rsidRDefault="003130B6" w:rsidP="00A72F0E">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Timely, accurate and quality OPMET data;    Improved efficiency and service delivery.</w:t>
            </w:r>
          </w:p>
        </w:tc>
        <w:tc>
          <w:tcPr>
            <w:tcW w:w="2936" w:type="dxa"/>
            <w:shd w:val="clear" w:color="000000" w:fill="FFFFFF"/>
            <w:hideMark/>
          </w:tcPr>
          <w:p w:rsidR="003130B6" w:rsidRPr="003130B6" w:rsidRDefault="003130B6" w:rsidP="00A72F0E">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a) Met Services, BCCs, AFTN providers and RODBs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b) States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c) The Secretariat (through short workshops, seminars, SLs); and States</w:t>
            </w:r>
          </w:p>
        </w:tc>
        <w:tc>
          <w:tcPr>
            <w:tcW w:w="1928" w:type="dxa"/>
            <w:shd w:val="clear" w:color="auto" w:fill="auto"/>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a) 31/12/2021</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b) 30/06/2022</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c) 30/06/2022</w:t>
            </w:r>
          </w:p>
        </w:tc>
        <w:tc>
          <w:tcPr>
            <w:tcW w:w="3074"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 xml:space="preserve">Capacity building on Aeronautical Communication Procedures and Protocols. </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 xml:space="preserve">Most of the Met Services merged some technical cadres who may not be conversant with ICAO Aeronautical Communication procedures. </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 xml:space="preserve">For c), as immediate action from   the Secretariat will be to encourage States through SL.                               </w:t>
            </w:r>
          </w:p>
        </w:tc>
      </w:tr>
      <w:tr w:rsidR="003130B6" w:rsidRPr="003130B6" w:rsidTr="00EA357D">
        <w:trPr>
          <w:trHeight w:val="112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2</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proofErr w:type="spellStart"/>
            <w:r w:rsidRPr="003130B6">
              <w:rPr>
                <w:rFonts w:ascii="Times New Roman" w:eastAsia="Times New Roman" w:hAnsi="Times New Roman" w:cs="Times New Roman"/>
                <w:color w:val="000000"/>
                <w:lang w:eastAsia="en-GB"/>
              </w:rPr>
              <w:t>Sintax</w:t>
            </w:r>
            <w:proofErr w:type="spellEnd"/>
            <w:r w:rsidRPr="003130B6">
              <w:rPr>
                <w:rFonts w:ascii="Times New Roman" w:eastAsia="Times New Roman" w:hAnsi="Times New Roman" w:cs="Times New Roman"/>
                <w:color w:val="000000"/>
                <w:lang w:eastAsia="en-GB"/>
              </w:rPr>
              <w:t>/data errors that elevate system queues</w:t>
            </w:r>
          </w:p>
        </w:tc>
        <w:tc>
          <w:tcPr>
            <w:tcW w:w="2784" w:type="dxa"/>
            <w:shd w:val="clear" w:color="000000" w:fill="FFFFFF"/>
            <w:hideMark/>
          </w:tcPr>
          <w:p w:rsidR="003130B6" w:rsidRPr="003130B6" w:rsidRDefault="003130B6" w:rsidP="003E2129">
            <w:pPr>
              <w:pStyle w:val="Paragraphedeliste"/>
              <w:numPr>
                <w:ilvl w:val="0"/>
                <w:numId w:val="2"/>
              </w:num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Training the staff on the Procedures in ICAO Annex 10 Volume II</w:t>
            </w:r>
            <w:r w:rsidRPr="003130B6">
              <w:rPr>
                <w:rFonts w:ascii="Times New Roman" w:eastAsia="Times New Roman" w:hAnsi="Times New Roman" w:cs="Times New Roman"/>
                <w:color w:val="000000"/>
                <w:lang w:eastAsia="en-GB"/>
              </w:rPr>
              <w:br/>
              <w:t>Appointment of Focal Points by States</w:t>
            </w:r>
          </w:p>
        </w:tc>
        <w:tc>
          <w:tcPr>
            <w:tcW w:w="2126"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Improved efficiency and service delivery</w:t>
            </w:r>
          </w:p>
        </w:tc>
        <w:tc>
          <w:tcPr>
            <w:tcW w:w="2936"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a) Met Services, AFTN providers and BCCs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b) States /Secretariat</w:t>
            </w:r>
          </w:p>
        </w:tc>
        <w:tc>
          <w:tcPr>
            <w:tcW w:w="1928" w:type="dxa"/>
            <w:shd w:val="clear" w:color="auto" w:fill="auto"/>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31/01/2022</w:t>
            </w:r>
          </w:p>
        </w:tc>
        <w:tc>
          <w:tcPr>
            <w:tcW w:w="3074"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Capacity building to enhance Skills,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 xml:space="preserve"> Knowledge, and Competencies.</w:t>
            </w:r>
          </w:p>
        </w:tc>
      </w:tr>
      <w:tr w:rsidR="003130B6" w:rsidRPr="003130B6" w:rsidTr="00EA357D">
        <w:trPr>
          <w:trHeight w:val="384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lastRenderedPageBreak/>
              <w:t>3</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Changes of operators where most States have merged sections</w:t>
            </w:r>
          </w:p>
        </w:tc>
        <w:tc>
          <w:tcPr>
            <w:tcW w:w="2784" w:type="dxa"/>
            <w:shd w:val="clear" w:color="000000" w:fill="FFFFFF"/>
            <w:hideMark/>
          </w:tcPr>
          <w:p w:rsidR="00A72F0E" w:rsidRDefault="003130B6" w:rsidP="00A72F0E">
            <w:pPr>
              <w:pStyle w:val="Paragraphedeliste"/>
              <w:numPr>
                <w:ilvl w:val="0"/>
                <w:numId w:val="3"/>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 xml:space="preserve">Reinforcement of the compliance to the requirements of the ICAO OPMET information. </w:t>
            </w:r>
          </w:p>
          <w:p w:rsidR="003130B6" w:rsidRPr="003E2129" w:rsidRDefault="003130B6" w:rsidP="00A72F0E">
            <w:pPr>
              <w:pStyle w:val="Paragraphedeliste"/>
              <w:numPr>
                <w:ilvl w:val="0"/>
                <w:numId w:val="3"/>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 xml:space="preserve">States to ensure that the oversight function </w:t>
            </w:r>
            <w:proofErr w:type="gramStart"/>
            <w:r w:rsidRPr="003E2129">
              <w:rPr>
                <w:rFonts w:ascii="Times New Roman" w:eastAsia="Times New Roman" w:hAnsi="Times New Roman" w:cs="Times New Roman"/>
                <w:color w:val="000000"/>
                <w:lang w:eastAsia="en-GB"/>
              </w:rPr>
              <w:t>is implemented</w:t>
            </w:r>
            <w:proofErr w:type="gramEnd"/>
            <w:r w:rsidRPr="003E2129">
              <w:rPr>
                <w:rFonts w:ascii="Times New Roman" w:eastAsia="Times New Roman" w:hAnsi="Times New Roman" w:cs="Times New Roman"/>
                <w:color w:val="000000"/>
                <w:lang w:eastAsia="en-GB"/>
              </w:rPr>
              <w:t>.</w:t>
            </w:r>
            <w:r w:rsidRPr="003E2129">
              <w:rPr>
                <w:rFonts w:ascii="Times New Roman" w:eastAsia="Times New Roman" w:hAnsi="Times New Roman" w:cs="Times New Roman"/>
                <w:color w:val="000000"/>
                <w:lang w:eastAsia="en-GB"/>
              </w:rPr>
              <w:br/>
            </w:r>
            <w:r w:rsidRPr="003E2129">
              <w:rPr>
                <w:rFonts w:ascii="Times New Roman" w:eastAsia="Times New Roman" w:hAnsi="Times New Roman" w:cs="Times New Roman"/>
                <w:color w:val="000000"/>
                <w:lang w:eastAsia="en-GB"/>
              </w:rPr>
              <w:br/>
            </w:r>
            <w:r w:rsidRPr="003E2129">
              <w:rPr>
                <w:rFonts w:ascii="Times New Roman" w:eastAsia="Times New Roman" w:hAnsi="Times New Roman" w:cs="Times New Roman"/>
                <w:color w:val="000000"/>
                <w:lang w:eastAsia="en-GB"/>
              </w:rPr>
              <w:br/>
            </w:r>
          </w:p>
        </w:tc>
        <w:tc>
          <w:tcPr>
            <w:tcW w:w="2126" w:type="dxa"/>
            <w:shd w:val="clear" w:color="000000" w:fill="FFFFFF"/>
            <w:hideMark/>
          </w:tcPr>
          <w:p w:rsidR="003130B6" w:rsidRPr="003130B6" w:rsidRDefault="003130B6" w:rsidP="00A72F0E">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Increased access to /availability of OPMET data</w:t>
            </w:r>
          </w:p>
        </w:tc>
        <w:tc>
          <w:tcPr>
            <w:tcW w:w="2936"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Met Services, AFTN providers and BCCs, States (CAAs)</w:t>
            </w:r>
          </w:p>
        </w:tc>
        <w:tc>
          <w:tcPr>
            <w:tcW w:w="1928" w:type="dxa"/>
            <w:shd w:val="clear" w:color="auto" w:fill="auto"/>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31/06/2022</w:t>
            </w:r>
          </w:p>
        </w:tc>
        <w:tc>
          <w:tcPr>
            <w:tcW w:w="3074" w:type="dxa"/>
            <w:shd w:val="clear" w:color="000000" w:fill="FFFFFF"/>
            <w:hideMark/>
          </w:tcPr>
          <w:p w:rsidR="003130B6" w:rsidRPr="003130B6" w:rsidRDefault="003130B6" w:rsidP="00A72F0E">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Capacity building to enhance Skills, Knowledge, and Competencies.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In order to increase the availability of OPMET data in the AFI region, administrations /organisations to ensure, Service Providers re-enforce the capabilities of their operators in charge of OPMET bulletin collection, data entry, bulletin compilation, distribution and storage in tandem with the requirements of the ICAO Annex 3 and AMBEX Handbook.</w:t>
            </w:r>
          </w:p>
        </w:tc>
      </w:tr>
      <w:tr w:rsidR="003130B6" w:rsidRPr="003130B6" w:rsidTr="00EA357D">
        <w:trPr>
          <w:trHeight w:val="697"/>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4</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Lack of competency on the application of Annex 10 Volume II Procedures</w:t>
            </w:r>
          </w:p>
        </w:tc>
        <w:tc>
          <w:tcPr>
            <w:tcW w:w="2784" w:type="dxa"/>
            <w:shd w:val="clear" w:color="000000" w:fill="FFFFFF"/>
            <w:hideMark/>
          </w:tcPr>
          <w:p w:rsidR="00A72F0E" w:rsidRDefault="003130B6" w:rsidP="00A72F0E">
            <w:pPr>
              <w:pStyle w:val="Paragraphedeliste"/>
              <w:numPr>
                <w:ilvl w:val="0"/>
                <w:numId w:val="4"/>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Training the staff on the Procedures in ICAO Annex 10 Volume II</w:t>
            </w:r>
          </w:p>
          <w:p w:rsidR="003130B6" w:rsidRPr="003E2129" w:rsidRDefault="003130B6" w:rsidP="00A72F0E">
            <w:pPr>
              <w:pStyle w:val="Paragraphedeliste"/>
              <w:numPr>
                <w:ilvl w:val="0"/>
                <w:numId w:val="4"/>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Assessment of staff competencies on the implementation of the Annex 10 Volume II and Annex 3 requirements</w:t>
            </w:r>
          </w:p>
        </w:tc>
        <w:tc>
          <w:tcPr>
            <w:tcW w:w="2126" w:type="dxa"/>
            <w:shd w:val="clear" w:color="000000" w:fill="FFFFFF"/>
            <w:hideMark/>
          </w:tcPr>
          <w:p w:rsidR="003130B6" w:rsidRPr="003130B6" w:rsidRDefault="003130B6" w:rsidP="00A72F0E">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Identify and establish a database of competent experts in all areas in the region</w:t>
            </w:r>
          </w:p>
        </w:tc>
        <w:tc>
          <w:tcPr>
            <w:tcW w:w="2936" w:type="dxa"/>
            <w:shd w:val="clear" w:color="000000" w:fill="FFFFFF"/>
            <w:hideMark/>
          </w:tcPr>
          <w:p w:rsidR="003130B6" w:rsidRPr="003130B6" w:rsidRDefault="003130B6" w:rsidP="00A72F0E">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 xml:space="preserve">Met Services, AFTN providers, BCCs and RODBs, Regional Training Centres, </w:t>
            </w:r>
            <w:r w:rsidRPr="003130B6">
              <w:rPr>
                <w:rFonts w:ascii="Times New Roman" w:eastAsia="Times New Roman" w:hAnsi="Times New Roman" w:cs="Times New Roman"/>
                <w:b/>
                <w:bCs/>
                <w:color w:val="000000"/>
                <w:lang w:eastAsia="en-GB"/>
              </w:rPr>
              <w:t>Secretariat</w:t>
            </w:r>
          </w:p>
        </w:tc>
        <w:tc>
          <w:tcPr>
            <w:tcW w:w="1928" w:type="dxa"/>
            <w:shd w:val="clear" w:color="auto" w:fill="auto"/>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30/06/2022</w:t>
            </w:r>
          </w:p>
        </w:tc>
        <w:tc>
          <w:tcPr>
            <w:tcW w:w="3074"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 xml:space="preserve">Capacity building to enhance Skills, Knowledge, and Competencies; </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Maintenance of skills, knowledge and experience to sustain continuity in various expert areas.</w:t>
            </w:r>
          </w:p>
        </w:tc>
      </w:tr>
      <w:tr w:rsidR="003130B6" w:rsidRPr="003130B6" w:rsidTr="00EA357D">
        <w:trPr>
          <w:trHeight w:val="364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lastRenderedPageBreak/>
              <w:t>5</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Lack of direct connectivity (Circuit or link unavailability)</w:t>
            </w:r>
          </w:p>
        </w:tc>
        <w:tc>
          <w:tcPr>
            <w:tcW w:w="2784" w:type="dxa"/>
            <w:shd w:val="clear" w:color="000000" w:fill="FFFFFF"/>
            <w:hideMark/>
          </w:tcPr>
          <w:p w:rsidR="003130B6" w:rsidRPr="003E2129" w:rsidRDefault="003130B6" w:rsidP="003E2129">
            <w:pPr>
              <w:pStyle w:val="Paragraphedeliste"/>
              <w:numPr>
                <w:ilvl w:val="0"/>
                <w:numId w:val="5"/>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 xml:space="preserve">Identify </w:t>
            </w:r>
            <w:proofErr w:type="gramStart"/>
            <w:r w:rsidRPr="003E2129">
              <w:rPr>
                <w:rFonts w:ascii="Times New Roman" w:eastAsia="Times New Roman" w:hAnsi="Times New Roman" w:cs="Times New Roman"/>
                <w:color w:val="000000"/>
                <w:lang w:eastAsia="en-GB"/>
              </w:rPr>
              <w:t>the redundant links in the region and where there is a need of new links</w:t>
            </w:r>
            <w:proofErr w:type="gramEnd"/>
            <w:r w:rsidRPr="003E2129">
              <w:rPr>
                <w:rFonts w:ascii="Times New Roman" w:eastAsia="Times New Roman" w:hAnsi="Times New Roman" w:cs="Times New Roman"/>
                <w:color w:val="000000"/>
                <w:lang w:eastAsia="en-GB"/>
              </w:rPr>
              <w:t>.</w:t>
            </w:r>
          </w:p>
          <w:p w:rsidR="003130B6" w:rsidRPr="003E2129" w:rsidRDefault="003130B6" w:rsidP="003E2129">
            <w:pPr>
              <w:pStyle w:val="Paragraphedeliste"/>
              <w:numPr>
                <w:ilvl w:val="0"/>
                <w:numId w:val="5"/>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br w:type="page"/>
            </w:r>
            <w:r w:rsidRPr="003E2129">
              <w:rPr>
                <w:rFonts w:ascii="Times New Roman" w:eastAsia="Times New Roman" w:hAnsi="Times New Roman" w:cs="Times New Roman"/>
                <w:color w:val="000000"/>
                <w:lang w:eastAsia="en-GB"/>
              </w:rPr>
              <w:br w:type="page"/>
              <w:t>Identify the unavailable links in the AFI  region</w:t>
            </w:r>
            <w:r w:rsidRPr="003E2129">
              <w:rPr>
                <w:rFonts w:ascii="Times New Roman" w:eastAsia="Times New Roman" w:hAnsi="Times New Roman" w:cs="Times New Roman"/>
                <w:color w:val="000000"/>
                <w:lang w:eastAsia="en-GB"/>
              </w:rPr>
              <w:br w:type="page"/>
            </w:r>
            <w:r w:rsidRPr="003E2129">
              <w:rPr>
                <w:rFonts w:ascii="Times New Roman" w:eastAsia="Times New Roman" w:hAnsi="Times New Roman" w:cs="Times New Roman"/>
                <w:color w:val="000000"/>
                <w:lang w:eastAsia="en-GB"/>
              </w:rPr>
              <w:br w:type="page"/>
              <w:t>c) Review the ICAO Rooting Directory between States</w:t>
            </w:r>
          </w:p>
        </w:tc>
        <w:tc>
          <w:tcPr>
            <w:tcW w:w="2126"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Increased access to OPMET data and reporting</w:t>
            </w:r>
          </w:p>
        </w:tc>
        <w:tc>
          <w:tcPr>
            <w:tcW w:w="2936" w:type="dxa"/>
            <w:shd w:val="clear" w:color="000000" w:fill="FFFFFF"/>
            <w:hideMark/>
          </w:tcPr>
          <w:p w:rsidR="003130B6" w:rsidRPr="003130B6" w:rsidRDefault="003130B6" w:rsidP="00A72F0E">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 xml:space="preserve">a), b) </w:t>
            </w:r>
            <w:r w:rsidRPr="00A72F0E">
              <w:rPr>
                <w:rFonts w:ascii="Times New Roman" w:eastAsia="Times New Roman" w:hAnsi="Times New Roman" w:cs="Times New Roman"/>
                <w:bCs/>
                <w:color w:val="000000"/>
                <w:lang w:eastAsia="en-GB"/>
              </w:rPr>
              <w:t>Communication Centres</w:t>
            </w:r>
            <w:r w:rsidRPr="003130B6">
              <w:rPr>
                <w:rFonts w:ascii="Times New Roman" w:eastAsia="Times New Roman" w:hAnsi="Times New Roman" w:cs="Times New Roman"/>
                <w:b/>
                <w:bCs/>
                <w:color w:val="000000"/>
                <w:lang w:eastAsia="en-GB"/>
              </w:rPr>
              <w:t xml:space="preserve"> </w:t>
            </w:r>
            <w:r w:rsidRPr="003130B6">
              <w:rPr>
                <w:rFonts w:ascii="Times New Roman" w:eastAsia="Times New Roman" w:hAnsi="Times New Roman" w:cs="Times New Roman"/>
                <w:color w:val="000000"/>
                <w:lang w:eastAsia="en-GB"/>
              </w:rPr>
              <w:t>(Brazzaville, O.R. Tambo, Dakar and Nairobi); MET Services, BCCs and RODBs</w:t>
            </w:r>
            <w:r w:rsidRPr="003130B6">
              <w:rPr>
                <w:rFonts w:ascii="Times New Roman" w:eastAsia="Times New Roman" w:hAnsi="Times New Roman" w:cs="Times New Roman"/>
                <w:color w:val="000000"/>
                <w:lang w:eastAsia="en-GB"/>
              </w:rPr>
              <w:br w:type="page"/>
            </w:r>
            <w:r w:rsidRPr="003130B6">
              <w:rPr>
                <w:rFonts w:ascii="Times New Roman" w:eastAsia="Times New Roman" w:hAnsi="Times New Roman" w:cs="Times New Roman"/>
                <w:color w:val="000000"/>
                <w:lang w:eastAsia="en-GB"/>
              </w:rPr>
              <w:br w:type="page"/>
              <w:t>c) States (BCCs, NOCs), Secretariat</w:t>
            </w:r>
            <w:r w:rsidRPr="003130B6">
              <w:rPr>
                <w:rFonts w:ascii="Times New Roman" w:eastAsia="Times New Roman" w:hAnsi="Times New Roman" w:cs="Times New Roman"/>
                <w:color w:val="000000"/>
                <w:lang w:eastAsia="en-GB"/>
              </w:rPr>
              <w:br w:type="page"/>
            </w:r>
            <w:r w:rsidRPr="003130B6">
              <w:rPr>
                <w:rFonts w:ascii="Times New Roman" w:eastAsia="Times New Roman" w:hAnsi="Times New Roman" w:cs="Times New Roman"/>
                <w:color w:val="000000"/>
                <w:lang w:eastAsia="en-GB"/>
              </w:rPr>
              <w:br w:type="page"/>
            </w:r>
          </w:p>
        </w:tc>
        <w:tc>
          <w:tcPr>
            <w:tcW w:w="1928" w:type="dxa"/>
            <w:shd w:val="clear" w:color="auto" w:fill="auto"/>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31/07/2022</w:t>
            </w:r>
          </w:p>
        </w:tc>
        <w:tc>
          <w:tcPr>
            <w:tcW w:w="3074"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 xml:space="preserve">Ensure seamless distribution and sharing of OPMET data with MWOs, BCCs and RODBs;        </w:t>
            </w:r>
            <w:r w:rsidRPr="003130B6">
              <w:rPr>
                <w:rFonts w:ascii="Times New Roman" w:eastAsia="Times New Roman" w:hAnsi="Times New Roman" w:cs="Times New Roman"/>
                <w:color w:val="000000"/>
                <w:lang w:eastAsia="en-GB"/>
              </w:rPr>
              <w:br w:type="page"/>
            </w:r>
            <w:r w:rsidRPr="003130B6">
              <w:rPr>
                <w:rFonts w:ascii="Times New Roman" w:eastAsia="Times New Roman" w:hAnsi="Times New Roman" w:cs="Times New Roman"/>
                <w:color w:val="000000"/>
                <w:lang w:eastAsia="en-GB"/>
              </w:rPr>
              <w:br w:type="page"/>
              <w:t>This is in compliance to the requirements of AMBEX Scheme;                     AFTN providers to ensure dedicated and an uninterruptable AFTN link between Met Services, BCCs and RODBs.</w:t>
            </w:r>
            <w:r w:rsidRPr="003130B6">
              <w:rPr>
                <w:rFonts w:ascii="Times New Roman" w:eastAsia="Times New Roman" w:hAnsi="Times New Roman" w:cs="Times New Roman"/>
                <w:color w:val="000000"/>
                <w:lang w:eastAsia="en-GB"/>
              </w:rPr>
              <w:br w:type="page"/>
            </w:r>
            <w:r w:rsidRPr="003130B6">
              <w:rPr>
                <w:rFonts w:ascii="Times New Roman" w:eastAsia="Times New Roman" w:hAnsi="Times New Roman" w:cs="Times New Roman"/>
                <w:color w:val="000000"/>
                <w:lang w:eastAsia="en-GB"/>
              </w:rPr>
              <w:br w:type="page"/>
              <w:t>This will improve data quality and reception times.</w:t>
            </w:r>
          </w:p>
        </w:tc>
      </w:tr>
      <w:tr w:rsidR="003130B6" w:rsidRPr="003130B6" w:rsidTr="00EA357D">
        <w:trPr>
          <w:trHeight w:val="254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6</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Lack of collaboration between States</w:t>
            </w:r>
          </w:p>
        </w:tc>
        <w:tc>
          <w:tcPr>
            <w:tcW w:w="2784" w:type="dxa"/>
            <w:shd w:val="clear" w:color="000000" w:fill="FFFFFF"/>
            <w:hideMark/>
          </w:tcPr>
          <w:p w:rsidR="003E2129" w:rsidRDefault="003E2129" w:rsidP="003E2129">
            <w:pPr>
              <w:pStyle w:val="Paragraphedeliste"/>
              <w:numPr>
                <w:ilvl w:val="0"/>
                <w:numId w:val="7"/>
              </w:numPr>
              <w:spacing w:before="120" w:after="120" w:line="240" w:lineRule="auto"/>
              <w:ind w:left="357" w:hanging="357"/>
              <w:contextualSpacing w:val="0"/>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S</w:t>
            </w:r>
            <w:r w:rsidR="003130B6" w:rsidRPr="003E2129">
              <w:rPr>
                <w:rFonts w:ascii="Times New Roman" w:eastAsia="Times New Roman" w:hAnsi="Times New Roman" w:cs="Times New Roman"/>
                <w:color w:val="000000"/>
                <w:lang w:eastAsia="en-GB"/>
              </w:rPr>
              <w:t xml:space="preserve">tates/Organisations make bilateral and multilateral arrangements to investigate unavailability of the OPMET bulletins and take appropriate remedial measures. </w:t>
            </w:r>
          </w:p>
          <w:p w:rsidR="003E2129" w:rsidRDefault="003130B6" w:rsidP="003E2129">
            <w:pPr>
              <w:pStyle w:val="Paragraphedeliste"/>
              <w:numPr>
                <w:ilvl w:val="0"/>
                <w:numId w:val="7"/>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 xml:space="preserve">Report on the availability of OPMET data </w:t>
            </w:r>
            <w:proofErr w:type="gramStart"/>
            <w:r w:rsidRPr="003E2129">
              <w:rPr>
                <w:rFonts w:ascii="Times New Roman" w:eastAsia="Times New Roman" w:hAnsi="Times New Roman" w:cs="Times New Roman"/>
                <w:color w:val="000000"/>
                <w:lang w:eastAsia="en-GB"/>
              </w:rPr>
              <w:t>must be disseminated</w:t>
            </w:r>
            <w:proofErr w:type="gramEnd"/>
            <w:r w:rsidRPr="003E2129">
              <w:rPr>
                <w:rFonts w:ascii="Times New Roman" w:eastAsia="Times New Roman" w:hAnsi="Times New Roman" w:cs="Times New Roman"/>
                <w:color w:val="000000"/>
                <w:lang w:eastAsia="en-GB"/>
              </w:rPr>
              <w:t xml:space="preserve"> to States by RODBs and BCCs.</w:t>
            </w:r>
          </w:p>
          <w:p w:rsidR="003130B6" w:rsidRPr="003E2129" w:rsidRDefault="003130B6" w:rsidP="003E2129">
            <w:pPr>
              <w:pStyle w:val="Paragraphedeliste"/>
              <w:numPr>
                <w:ilvl w:val="0"/>
                <w:numId w:val="7"/>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 xml:space="preserve">Establish a team, composed of Nairobi </w:t>
            </w:r>
            <w:r w:rsidRPr="003E2129">
              <w:rPr>
                <w:rFonts w:ascii="Times New Roman" w:eastAsia="Times New Roman" w:hAnsi="Times New Roman" w:cs="Times New Roman"/>
                <w:color w:val="000000"/>
                <w:lang w:eastAsia="en-GB"/>
              </w:rPr>
              <w:lastRenderedPageBreak/>
              <w:t>(MET (1), AFTN (1)), Pretoria (</w:t>
            </w:r>
            <w:proofErr w:type="gramStart"/>
            <w:r w:rsidRPr="003E2129">
              <w:rPr>
                <w:rFonts w:ascii="Times New Roman" w:eastAsia="Times New Roman" w:hAnsi="Times New Roman" w:cs="Times New Roman"/>
                <w:color w:val="000000"/>
                <w:lang w:eastAsia="en-GB"/>
              </w:rPr>
              <w:t>MET(</w:t>
            </w:r>
            <w:proofErr w:type="gramEnd"/>
            <w:r w:rsidRPr="003E2129">
              <w:rPr>
                <w:rFonts w:ascii="Times New Roman" w:eastAsia="Times New Roman" w:hAnsi="Times New Roman" w:cs="Times New Roman"/>
                <w:color w:val="000000"/>
                <w:lang w:eastAsia="en-GB"/>
              </w:rPr>
              <w:t>1), (AFTN(1)) and ASECNA (MET(2), AFTN (3)),  be established to undertake investigations, education and create awareness for the states, for a period of six(6) months, on the importance of availability of the OPMET data. This team will be composed of Meteorological and BCCs personnel.</w:t>
            </w:r>
          </w:p>
        </w:tc>
        <w:tc>
          <w:tcPr>
            <w:tcW w:w="2126" w:type="dxa"/>
            <w:shd w:val="clear" w:color="000000" w:fill="FFFFFF"/>
            <w:hideMark/>
          </w:tcPr>
          <w:p w:rsidR="003130B6" w:rsidRPr="003130B6" w:rsidRDefault="003130B6" w:rsidP="00A72F0E">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lastRenderedPageBreak/>
              <w:t xml:space="preserve">Actual situation on the OPMET data distribution, states capacity, competency levels, SWOT Analysis and recommendations. </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 xml:space="preserve">This promotes ICAO’s efforts to resolve unavailability of OPMET data brought to light through ICAO’s safety oversight audits, as well as other safety related </w:t>
            </w:r>
            <w:r w:rsidRPr="003130B6">
              <w:rPr>
                <w:rFonts w:ascii="Times New Roman" w:eastAsia="Times New Roman" w:hAnsi="Times New Roman" w:cs="Times New Roman"/>
                <w:color w:val="000000"/>
                <w:lang w:eastAsia="en-GB"/>
              </w:rPr>
              <w:lastRenderedPageBreak/>
              <w:t>objectives.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 xml:space="preserve"> Increased compliance of States with their obligations under the Chicago Convention with respect to Annex 3 and Annex 10 Vol II.</w:t>
            </w:r>
          </w:p>
        </w:tc>
        <w:tc>
          <w:tcPr>
            <w:tcW w:w="2936" w:type="dxa"/>
            <w:shd w:val="clear" w:color="000000" w:fill="FFFFFF"/>
            <w:hideMark/>
          </w:tcPr>
          <w:p w:rsidR="00A72F0E" w:rsidRDefault="003130B6" w:rsidP="00A72F0E">
            <w:pPr>
              <w:pStyle w:val="Paragraphedeliste"/>
              <w:numPr>
                <w:ilvl w:val="0"/>
                <w:numId w:val="13"/>
              </w:numPr>
              <w:spacing w:before="120" w:after="120" w:line="240" w:lineRule="auto"/>
              <w:ind w:left="357" w:hanging="357"/>
              <w:contextualSpacing w:val="0"/>
              <w:rPr>
                <w:rFonts w:ascii="Times New Roman" w:eastAsia="Times New Roman" w:hAnsi="Times New Roman" w:cs="Times New Roman"/>
                <w:color w:val="000000"/>
                <w:lang w:eastAsia="en-GB"/>
              </w:rPr>
            </w:pPr>
            <w:r w:rsidRPr="00A72F0E">
              <w:rPr>
                <w:rFonts w:ascii="Times New Roman" w:eastAsia="Times New Roman" w:hAnsi="Times New Roman" w:cs="Times New Roman"/>
                <w:color w:val="000000"/>
                <w:lang w:eastAsia="en-GB"/>
              </w:rPr>
              <w:lastRenderedPageBreak/>
              <w:t>MET Service Providers, RODBs, BCCs, Secretariat (to facilitate the communication)</w:t>
            </w:r>
          </w:p>
          <w:p w:rsidR="00A72F0E" w:rsidRDefault="003130B6" w:rsidP="00A72F0E">
            <w:pPr>
              <w:pStyle w:val="Paragraphedeliste"/>
              <w:numPr>
                <w:ilvl w:val="0"/>
                <w:numId w:val="13"/>
              </w:numPr>
              <w:spacing w:before="120" w:after="120" w:line="240" w:lineRule="auto"/>
              <w:ind w:left="357" w:hanging="357"/>
              <w:contextualSpacing w:val="0"/>
              <w:rPr>
                <w:rFonts w:ascii="Times New Roman" w:eastAsia="Times New Roman" w:hAnsi="Times New Roman" w:cs="Times New Roman"/>
                <w:color w:val="000000"/>
                <w:lang w:eastAsia="en-GB"/>
              </w:rPr>
            </w:pPr>
            <w:r w:rsidRPr="00A72F0E">
              <w:rPr>
                <w:rFonts w:ascii="Times New Roman" w:eastAsia="Times New Roman" w:hAnsi="Times New Roman" w:cs="Times New Roman"/>
                <w:color w:val="000000"/>
                <w:lang w:eastAsia="en-GB"/>
              </w:rPr>
              <w:t>RODBs, BCCs, CAAs, Secretariat (for link between States)</w:t>
            </w:r>
          </w:p>
          <w:p w:rsidR="003130B6" w:rsidRPr="00A72F0E" w:rsidRDefault="003130B6" w:rsidP="00A72F0E">
            <w:pPr>
              <w:pStyle w:val="Paragraphedeliste"/>
              <w:numPr>
                <w:ilvl w:val="0"/>
                <w:numId w:val="13"/>
              </w:numPr>
              <w:spacing w:before="120" w:after="120" w:line="240" w:lineRule="auto"/>
              <w:ind w:left="357" w:hanging="357"/>
              <w:contextualSpacing w:val="0"/>
              <w:rPr>
                <w:rFonts w:ascii="Times New Roman" w:eastAsia="Times New Roman" w:hAnsi="Times New Roman" w:cs="Times New Roman"/>
                <w:color w:val="000000"/>
                <w:lang w:eastAsia="en-GB"/>
              </w:rPr>
            </w:pPr>
            <w:r w:rsidRPr="00A72F0E">
              <w:rPr>
                <w:rFonts w:ascii="Times New Roman" w:eastAsia="Times New Roman" w:hAnsi="Times New Roman" w:cs="Times New Roman"/>
                <w:color w:val="000000"/>
                <w:lang w:eastAsia="en-GB"/>
              </w:rPr>
              <w:t>Nairobi, Pretoria, ASECNA, Secretariat (to coordinate)</w:t>
            </w:r>
          </w:p>
        </w:tc>
        <w:tc>
          <w:tcPr>
            <w:tcW w:w="1928" w:type="dxa"/>
            <w:shd w:val="clear" w:color="auto" w:fill="auto"/>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10/09/2021</w:t>
            </w:r>
          </w:p>
        </w:tc>
        <w:tc>
          <w:tcPr>
            <w:tcW w:w="3074" w:type="dxa"/>
            <w:shd w:val="clear" w:color="000000" w:fill="FFFFFF"/>
            <w:hideMark/>
          </w:tcPr>
          <w:p w:rsidR="003130B6" w:rsidRPr="003130B6" w:rsidRDefault="003130B6" w:rsidP="00A72F0E">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 xml:space="preserve">Enhance collaboration among states to enable sharing of challenges /solutions and emerging issues;            </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This will enable identification of gaps and deviancies and propose remedial measures for efficient service delivery.</w:t>
            </w:r>
          </w:p>
        </w:tc>
      </w:tr>
      <w:tr w:rsidR="003130B6" w:rsidRPr="003130B6" w:rsidTr="00EA357D">
        <w:trPr>
          <w:trHeight w:val="196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7</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Training of the data entry and operational staff</w:t>
            </w:r>
          </w:p>
        </w:tc>
        <w:tc>
          <w:tcPr>
            <w:tcW w:w="2784" w:type="dxa"/>
            <w:shd w:val="clear" w:color="000000" w:fill="FFFFFF"/>
            <w:hideMark/>
          </w:tcPr>
          <w:p w:rsidR="003E2129" w:rsidRDefault="003130B6" w:rsidP="003E2129">
            <w:pPr>
              <w:pStyle w:val="Paragraphedeliste"/>
              <w:numPr>
                <w:ilvl w:val="0"/>
                <w:numId w:val="12"/>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 xml:space="preserve"> Specific workshop on data entry targeting operational personnel.</w:t>
            </w:r>
          </w:p>
          <w:p w:rsidR="003130B6" w:rsidRPr="003E2129" w:rsidRDefault="003130B6" w:rsidP="003E2129">
            <w:pPr>
              <w:pStyle w:val="Paragraphedeliste"/>
              <w:numPr>
                <w:ilvl w:val="0"/>
                <w:numId w:val="12"/>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Formal training on data entry of operational staff.</w:t>
            </w:r>
          </w:p>
        </w:tc>
        <w:tc>
          <w:tcPr>
            <w:tcW w:w="2126"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Increased access to OPMET data and reporting</w:t>
            </w:r>
          </w:p>
        </w:tc>
        <w:tc>
          <w:tcPr>
            <w:tcW w:w="2936" w:type="dxa"/>
            <w:shd w:val="clear" w:color="000000" w:fill="FFFFFF"/>
            <w:hideMark/>
          </w:tcPr>
          <w:p w:rsidR="003E2129" w:rsidRDefault="003130B6" w:rsidP="003E2129">
            <w:pPr>
              <w:pStyle w:val="Paragraphedeliste"/>
              <w:numPr>
                <w:ilvl w:val="0"/>
                <w:numId w:val="11"/>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Met Services, AFTN providers and BCCs, RODBs, Secretariat (to support)</w:t>
            </w:r>
          </w:p>
          <w:p w:rsidR="003130B6" w:rsidRPr="003E2129" w:rsidRDefault="003130B6" w:rsidP="003E2129">
            <w:pPr>
              <w:pStyle w:val="Paragraphedeliste"/>
              <w:numPr>
                <w:ilvl w:val="0"/>
                <w:numId w:val="11"/>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b/>
                <w:bCs/>
                <w:color w:val="000000"/>
                <w:lang w:eastAsia="en-GB"/>
              </w:rPr>
              <w:t>States,</w:t>
            </w:r>
            <w:r w:rsidRPr="003E2129">
              <w:rPr>
                <w:rFonts w:ascii="Times New Roman" w:eastAsia="Times New Roman" w:hAnsi="Times New Roman" w:cs="Times New Roman"/>
                <w:color w:val="000000"/>
                <w:lang w:eastAsia="en-GB"/>
              </w:rPr>
              <w:t xml:space="preserve"> Regional Training Centre (Pretoria, Nairobi, EAMAC (Niger), Egypt</w:t>
            </w:r>
          </w:p>
        </w:tc>
        <w:tc>
          <w:tcPr>
            <w:tcW w:w="1928" w:type="dxa"/>
            <w:shd w:val="clear" w:color="auto" w:fill="auto"/>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a) 31/01/2022</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b) 31/07/2022</w:t>
            </w:r>
          </w:p>
        </w:tc>
        <w:tc>
          <w:tcPr>
            <w:tcW w:w="3074"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Capacity building in data entry and quality control.</w:t>
            </w:r>
          </w:p>
        </w:tc>
      </w:tr>
      <w:tr w:rsidR="003130B6" w:rsidRPr="003130B6" w:rsidTr="00EA357D">
        <w:trPr>
          <w:trHeight w:val="348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lastRenderedPageBreak/>
              <w:t>8</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Improved collaboration between the Collection centres, the BCCs and RODBs</w:t>
            </w:r>
          </w:p>
        </w:tc>
        <w:tc>
          <w:tcPr>
            <w:tcW w:w="2784" w:type="dxa"/>
            <w:shd w:val="clear" w:color="000000" w:fill="FFFFFF"/>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 xml:space="preserve">a) Implementation of procedures to mitigate lack and loss of OPMET messages. </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b) BCC's and RODBs should issue METNO procedures.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c) Encourage States to issue AICs, NOTAMs and letters to inform their collection and data entry centres on their collective addressing procedures, e.g. changes of aerodrome location indicator.</w:t>
            </w:r>
          </w:p>
        </w:tc>
        <w:tc>
          <w:tcPr>
            <w:tcW w:w="2126"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Continuous availability of OPMET data and timely dissemination</w:t>
            </w:r>
          </w:p>
        </w:tc>
        <w:tc>
          <w:tcPr>
            <w:tcW w:w="2936" w:type="dxa"/>
            <w:shd w:val="clear" w:color="000000" w:fill="FFFFFF"/>
            <w:hideMark/>
          </w:tcPr>
          <w:p w:rsidR="003E2129" w:rsidRDefault="003130B6" w:rsidP="003E2129">
            <w:pPr>
              <w:pStyle w:val="Paragraphedeliste"/>
              <w:numPr>
                <w:ilvl w:val="0"/>
                <w:numId w:val="10"/>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Met Services, AFTN providers, BCCs and RODBs.</w:t>
            </w:r>
          </w:p>
          <w:p w:rsidR="003E2129" w:rsidRDefault="003130B6" w:rsidP="003E2129">
            <w:pPr>
              <w:pStyle w:val="Paragraphedeliste"/>
              <w:numPr>
                <w:ilvl w:val="0"/>
                <w:numId w:val="10"/>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Met Services, AFTN providers, BCCs and RODBs.</w:t>
            </w:r>
          </w:p>
          <w:p w:rsidR="003130B6" w:rsidRPr="003E2129" w:rsidRDefault="003130B6" w:rsidP="003E2129">
            <w:pPr>
              <w:pStyle w:val="Paragraphedeliste"/>
              <w:numPr>
                <w:ilvl w:val="0"/>
                <w:numId w:val="10"/>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States, BCCs, RODBs, Secretariat (to coordinate)</w:t>
            </w:r>
          </w:p>
        </w:tc>
        <w:tc>
          <w:tcPr>
            <w:tcW w:w="1928" w:type="dxa"/>
            <w:shd w:val="clear" w:color="auto" w:fill="auto"/>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30/09/2021</w:t>
            </w:r>
          </w:p>
        </w:tc>
        <w:tc>
          <w:tcPr>
            <w:tcW w:w="3074"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Conformity to the requirements of Annex 3 and AMBEX Scheme.</w:t>
            </w:r>
          </w:p>
        </w:tc>
      </w:tr>
      <w:tr w:rsidR="003130B6" w:rsidRPr="003130B6" w:rsidTr="00EA357D">
        <w:trPr>
          <w:trHeight w:val="168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9</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Bench marking between states.</w:t>
            </w:r>
          </w:p>
        </w:tc>
        <w:tc>
          <w:tcPr>
            <w:tcW w:w="2784"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States are encouraged to conduct Bench marking amongst themselves to compare notes that will enhance service delivery.</w:t>
            </w:r>
          </w:p>
        </w:tc>
        <w:tc>
          <w:tcPr>
            <w:tcW w:w="2126"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A uniform and sustainable level of OPMET data availability which should be at least equal to the international requirements has been established for the African Region</w:t>
            </w:r>
          </w:p>
        </w:tc>
        <w:tc>
          <w:tcPr>
            <w:tcW w:w="2936"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States, the Secretariat</w:t>
            </w:r>
          </w:p>
        </w:tc>
        <w:tc>
          <w:tcPr>
            <w:tcW w:w="1928" w:type="dxa"/>
            <w:shd w:val="clear" w:color="auto" w:fill="auto"/>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30/06/2022</w:t>
            </w:r>
          </w:p>
        </w:tc>
        <w:tc>
          <w:tcPr>
            <w:tcW w:w="3074"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 xml:space="preserve">Bench marking to learn/share experiences. This is key to service delivery for any Organization </w:t>
            </w:r>
          </w:p>
        </w:tc>
      </w:tr>
      <w:tr w:rsidR="003130B6" w:rsidRPr="003130B6" w:rsidTr="00EA357D">
        <w:trPr>
          <w:trHeight w:val="364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lastRenderedPageBreak/>
              <w:t>10</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Peer audit by AFI states /Lack of Fact Finding Technical Teams within AFI region</w:t>
            </w:r>
          </w:p>
        </w:tc>
        <w:tc>
          <w:tcPr>
            <w:tcW w:w="2784" w:type="dxa"/>
            <w:shd w:val="clear" w:color="000000" w:fill="FFFFFF"/>
            <w:hideMark/>
          </w:tcPr>
          <w:p w:rsidR="003E2129" w:rsidRDefault="003130B6" w:rsidP="003E2129">
            <w:pPr>
              <w:pStyle w:val="Paragraphedeliste"/>
              <w:numPr>
                <w:ilvl w:val="0"/>
                <w:numId w:val="8"/>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 xml:space="preserve">ICAO /WMO to identify States/Organizations that can </w:t>
            </w:r>
            <w:proofErr w:type="gramStart"/>
            <w:r w:rsidRPr="003E2129">
              <w:rPr>
                <w:rFonts w:ascii="Times New Roman" w:eastAsia="Times New Roman" w:hAnsi="Times New Roman" w:cs="Times New Roman"/>
                <w:color w:val="000000"/>
                <w:lang w:eastAsia="en-GB"/>
              </w:rPr>
              <w:t>provide assistance to</w:t>
            </w:r>
            <w:proofErr w:type="gramEnd"/>
            <w:r w:rsidRPr="003E2129">
              <w:rPr>
                <w:rFonts w:ascii="Times New Roman" w:eastAsia="Times New Roman" w:hAnsi="Times New Roman" w:cs="Times New Roman"/>
                <w:color w:val="000000"/>
                <w:lang w:eastAsia="en-GB"/>
              </w:rPr>
              <w:t xml:space="preserve"> recipient States</w:t>
            </w:r>
            <w:r w:rsidR="003E2129">
              <w:rPr>
                <w:rFonts w:ascii="Times New Roman" w:eastAsia="Times New Roman" w:hAnsi="Times New Roman" w:cs="Times New Roman"/>
                <w:color w:val="000000"/>
                <w:lang w:eastAsia="en-GB"/>
              </w:rPr>
              <w:t>.</w:t>
            </w:r>
          </w:p>
          <w:p w:rsidR="003E2129" w:rsidRDefault="003130B6" w:rsidP="003E2129">
            <w:pPr>
              <w:pStyle w:val="Paragraphedeliste"/>
              <w:numPr>
                <w:ilvl w:val="0"/>
                <w:numId w:val="8"/>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 xml:space="preserve">ICAO to set up a team to conduct peer audits in AFI states to engage the Administrations and ANSPs. </w:t>
            </w:r>
          </w:p>
          <w:p w:rsidR="003130B6" w:rsidRPr="003E2129" w:rsidRDefault="003130B6" w:rsidP="003E2129">
            <w:pPr>
              <w:pStyle w:val="Paragraphedeliste"/>
              <w:numPr>
                <w:ilvl w:val="0"/>
                <w:numId w:val="8"/>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ICAO to coordinate with WMO to assist the recipient States.</w:t>
            </w:r>
          </w:p>
        </w:tc>
        <w:tc>
          <w:tcPr>
            <w:tcW w:w="2126"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 xml:space="preserve">Promotes ICAO’s efforts to resolve unavailability of OPMET data brought to light through ICAO’s safety oversight audits, as well as other safety related objectives. </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The review reports submitted to the concerned Met Service and AFTN provider who will develop the corrective/preventive action plans accordingly.</w:t>
            </w:r>
          </w:p>
        </w:tc>
        <w:tc>
          <w:tcPr>
            <w:tcW w:w="2936"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States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ICAO</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WMO</w:t>
            </w:r>
          </w:p>
        </w:tc>
        <w:tc>
          <w:tcPr>
            <w:tcW w:w="1928" w:type="dxa"/>
            <w:shd w:val="clear" w:color="auto" w:fill="auto"/>
            <w:hideMark/>
          </w:tcPr>
          <w:p w:rsidR="003E2129" w:rsidRDefault="003E2129" w:rsidP="003E2129">
            <w:pPr>
              <w:spacing w:after="0" w:line="240" w:lineRule="auto"/>
              <w:rPr>
                <w:rFonts w:ascii="Times New Roman" w:eastAsia="Times New Roman" w:hAnsi="Times New Roman" w:cs="Times New Roman"/>
                <w:color w:val="000000"/>
                <w:lang w:eastAsia="en-GB"/>
              </w:rPr>
            </w:pPr>
          </w:p>
          <w:p w:rsidR="003130B6" w:rsidRPr="003130B6" w:rsidRDefault="003130B6" w:rsidP="00CB76C2">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a), c) 3</w:t>
            </w:r>
            <w:r w:rsidR="00CB76C2">
              <w:rPr>
                <w:rFonts w:ascii="Times New Roman" w:eastAsia="Times New Roman" w:hAnsi="Times New Roman" w:cs="Times New Roman"/>
                <w:color w:val="000000"/>
                <w:lang w:eastAsia="en-GB"/>
              </w:rPr>
              <w:t>0</w:t>
            </w:r>
            <w:r w:rsidRPr="003130B6">
              <w:rPr>
                <w:rFonts w:ascii="Times New Roman" w:eastAsia="Times New Roman" w:hAnsi="Times New Roman" w:cs="Times New Roman"/>
                <w:color w:val="000000"/>
                <w:lang w:eastAsia="en-GB"/>
              </w:rPr>
              <w:t>/</w:t>
            </w:r>
            <w:r w:rsidR="00CB76C2">
              <w:rPr>
                <w:rFonts w:ascii="Times New Roman" w:eastAsia="Times New Roman" w:hAnsi="Times New Roman" w:cs="Times New Roman"/>
                <w:color w:val="000000"/>
                <w:lang w:eastAsia="en-GB"/>
              </w:rPr>
              <w:t>03</w:t>
            </w:r>
            <w:r w:rsidRPr="003130B6">
              <w:rPr>
                <w:rFonts w:ascii="Times New Roman" w:eastAsia="Times New Roman" w:hAnsi="Times New Roman" w:cs="Times New Roman"/>
                <w:color w:val="000000"/>
                <w:lang w:eastAsia="en-GB"/>
              </w:rPr>
              <w:t>/202</w:t>
            </w:r>
            <w:r w:rsidR="00CB76C2">
              <w:rPr>
                <w:rFonts w:ascii="Times New Roman" w:eastAsia="Times New Roman" w:hAnsi="Times New Roman" w:cs="Times New Roman"/>
                <w:color w:val="000000"/>
                <w:lang w:eastAsia="en-GB"/>
              </w:rPr>
              <w:t>2</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b) 30/0</w:t>
            </w:r>
            <w:r w:rsidR="00CB76C2">
              <w:rPr>
                <w:rFonts w:ascii="Times New Roman" w:eastAsia="Times New Roman" w:hAnsi="Times New Roman" w:cs="Times New Roman"/>
                <w:color w:val="000000"/>
                <w:lang w:eastAsia="en-GB"/>
              </w:rPr>
              <w:t>3</w:t>
            </w:r>
            <w:r w:rsidRPr="003130B6">
              <w:rPr>
                <w:rFonts w:ascii="Times New Roman" w:eastAsia="Times New Roman" w:hAnsi="Times New Roman" w:cs="Times New Roman"/>
                <w:color w:val="000000"/>
                <w:lang w:eastAsia="en-GB"/>
              </w:rPr>
              <w:t>/202</w:t>
            </w:r>
            <w:r w:rsidR="00CB76C2">
              <w:rPr>
                <w:rFonts w:ascii="Times New Roman" w:eastAsia="Times New Roman" w:hAnsi="Times New Roman" w:cs="Times New Roman"/>
                <w:color w:val="000000"/>
                <w:lang w:eastAsia="en-GB"/>
              </w:rPr>
              <w:t>2</w:t>
            </w:r>
          </w:p>
        </w:tc>
        <w:tc>
          <w:tcPr>
            <w:tcW w:w="3074"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Peer Audits in AFI region is in line with the requirements of ISO 9001: 2015 on Quality Management System.</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This should be in line with ICAOs "no country left behind" and all States have access to the significant socio-economic benefits of safe and reliable air transport through available and reliable OPMET data.</w:t>
            </w:r>
          </w:p>
        </w:tc>
      </w:tr>
      <w:tr w:rsidR="003130B6" w:rsidRPr="003130B6" w:rsidTr="00EA357D">
        <w:trPr>
          <w:trHeight w:val="168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11</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Updating of the AMBEX Scheme</w:t>
            </w:r>
          </w:p>
        </w:tc>
        <w:tc>
          <w:tcPr>
            <w:tcW w:w="2784"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ICAO to liaise with the PTC of IIM/SG MET Project 2 (Senegal) to invite the Experts Team to assist the Project team with the update of the AFI AMBEX Handbook</w:t>
            </w:r>
          </w:p>
        </w:tc>
        <w:tc>
          <w:tcPr>
            <w:tcW w:w="2126"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 xml:space="preserve">All amendments and changes </w:t>
            </w:r>
            <w:proofErr w:type="gramStart"/>
            <w:r w:rsidRPr="003130B6">
              <w:rPr>
                <w:rFonts w:ascii="Times New Roman" w:eastAsia="Times New Roman" w:hAnsi="Times New Roman" w:cs="Times New Roman"/>
                <w:color w:val="000000"/>
                <w:lang w:eastAsia="en-GB"/>
              </w:rPr>
              <w:t>shall be accommodated and updated within the AMBEX scheme</w:t>
            </w:r>
            <w:proofErr w:type="gramEnd"/>
            <w:r w:rsidRPr="003130B6">
              <w:rPr>
                <w:rFonts w:ascii="Times New Roman" w:eastAsia="Times New Roman" w:hAnsi="Times New Roman" w:cs="Times New Roman"/>
                <w:color w:val="000000"/>
                <w:lang w:eastAsia="en-GB"/>
              </w:rPr>
              <w:t>.</w:t>
            </w:r>
          </w:p>
        </w:tc>
        <w:tc>
          <w:tcPr>
            <w:tcW w:w="2936"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The Secretariat</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IIM/SG MET Project 2</w:t>
            </w:r>
          </w:p>
        </w:tc>
        <w:tc>
          <w:tcPr>
            <w:tcW w:w="1928" w:type="dxa"/>
            <w:shd w:val="clear" w:color="auto" w:fill="auto"/>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31/08/2022</w:t>
            </w:r>
          </w:p>
        </w:tc>
        <w:tc>
          <w:tcPr>
            <w:tcW w:w="3074" w:type="dxa"/>
            <w:shd w:val="clear" w:color="000000" w:fill="FFFFFF"/>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Updated AMBEX Scheme aligned to the amendments in the Annex 3.</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Work to commence at the next IIM/SG MET Project 2 Meeting</w:t>
            </w:r>
          </w:p>
        </w:tc>
      </w:tr>
      <w:tr w:rsidR="003130B6" w:rsidRPr="003130B6" w:rsidTr="00EA357D">
        <w:trPr>
          <w:trHeight w:val="224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lastRenderedPageBreak/>
              <w:t>12</w:t>
            </w:r>
          </w:p>
        </w:tc>
        <w:tc>
          <w:tcPr>
            <w:tcW w:w="1600" w:type="dxa"/>
            <w:shd w:val="clear" w:color="000000" w:fill="FFFFFF"/>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Lack of adequate funding for Meteorological Services</w:t>
            </w:r>
          </w:p>
        </w:tc>
        <w:tc>
          <w:tcPr>
            <w:tcW w:w="2784"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ICAO in collaboration with WMO to organize a workshop on the Cost Recovery of Aeronautical Meteorological Services</w:t>
            </w:r>
          </w:p>
        </w:tc>
        <w:tc>
          <w:tcPr>
            <w:tcW w:w="2126"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Improved efficiency, capacity and service delivery</w:t>
            </w:r>
          </w:p>
        </w:tc>
        <w:tc>
          <w:tcPr>
            <w:tcW w:w="2936"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ICAO</w:t>
            </w:r>
            <w:r w:rsidRPr="003130B6">
              <w:rPr>
                <w:rFonts w:ascii="Times New Roman" w:eastAsia="Times New Roman" w:hAnsi="Times New Roman" w:cs="Times New Roman"/>
                <w:color w:val="000000"/>
                <w:lang w:eastAsia="en-GB"/>
              </w:rPr>
              <w:br/>
              <w:t>WMO</w:t>
            </w:r>
          </w:p>
        </w:tc>
        <w:tc>
          <w:tcPr>
            <w:tcW w:w="1928" w:type="dxa"/>
            <w:shd w:val="clear" w:color="auto" w:fill="auto"/>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30/04/2022</w:t>
            </w:r>
          </w:p>
        </w:tc>
        <w:tc>
          <w:tcPr>
            <w:tcW w:w="3074" w:type="dxa"/>
            <w:shd w:val="clear" w:color="000000" w:fill="FFFFFF"/>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Cost Recovery of Aeronautical Meteorological Services shall ensure improved service delivery as replacement of equipment and upgrading of infrastructural facilities to pre-empt non-conformities and supplement the exchequer support.</w:t>
            </w:r>
          </w:p>
        </w:tc>
      </w:tr>
      <w:tr w:rsidR="003130B6" w:rsidRPr="003130B6" w:rsidTr="00EA357D">
        <w:trPr>
          <w:trHeight w:val="3360"/>
        </w:trPr>
        <w:tc>
          <w:tcPr>
            <w:tcW w:w="436" w:type="dxa"/>
            <w:shd w:val="clear" w:color="auto" w:fill="auto"/>
            <w:noWrap/>
            <w:hideMark/>
          </w:tcPr>
          <w:p w:rsidR="003130B6" w:rsidRPr="003130B6" w:rsidRDefault="003130B6" w:rsidP="003130B6">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13</w:t>
            </w:r>
          </w:p>
        </w:tc>
        <w:tc>
          <w:tcPr>
            <w:tcW w:w="1600" w:type="dxa"/>
            <w:shd w:val="clear" w:color="auto" w:fill="auto"/>
            <w:hideMark/>
          </w:tcPr>
          <w:p w:rsidR="003130B6" w:rsidRPr="003130B6" w:rsidRDefault="003130B6" w:rsidP="003130B6">
            <w:pPr>
              <w:spacing w:after="0" w:line="240" w:lineRule="auto"/>
              <w:ind w:firstLineChars="10" w:firstLine="22"/>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Lack of regular meetings among Meteorological Service Providers (MSP),  Air Navigation Service Providers (ANSP), Regulators and other Stakeholders</w:t>
            </w:r>
          </w:p>
        </w:tc>
        <w:tc>
          <w:tcPr>
            <w:tcW w:w="2784" w:type="dxa"/>
            <w:shd w:val="clear" w:color="auto" w:fill="auto"/>
            <w:hideMark/>
          </w:tcPr>
          <w:p w:rsidR="003E2129" w:rsidRDefault="003130B6" w:rsidP="003E2129">
            <w:pPr>
              <w:pStyle w:val="Paragraphedeliste"/>
              <w:numPr>
                <w:ilvl w:val="0"/>
                <w:numId w:val="9"/>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 xml:space="preserve">Establishment </w:t>
            </w:r>
            <w:proofErr w:type="gramStart"/>
            <w:r w:rsidRPr="003E2129">
              <w:rPr>
                <w:rFonts w:ascii="Times New Roman" w:eastAsia="Times New Roman" w:hAnsi="Times New Roman" w:cs="Times New Roman"/>
                <w:color w:val="000000"/>
                <w:lang w:eastAsia="en-GB"/>
              </w:rPr>
              <w:t>of  regular</w:t>
            </w:r>
            <w:proofErr w:type="gramEnd"/>
            <w:r w:rsidRPr="003E2129">
              <w:rPr>
                <w:rFonts w:ascii="Times New Roman" w:eastAsia="Times New Roman" w:hAnsi="Times New Roman" w:cs="Times New Roman"/>
                <w:color w:val="000000"/>
                <w:lang w:eastAsia="en-GB"/>
              </w:rPr>
              <w:t xml:space="preserve"> OPMET Coordination Meetings to address challenges/gaps that may prohibit continuous improved service delivery to air operators.</w:t>
            </w:r>
          </w:p>
          <w:p w:rsidR="003130B6" w:rsidRPr="003E2129" w:rsidRDefault="003130B6" w:rsidP="003E2129">
            <w:pPr>
              <w:pStyle w:val="Paragraphedeliste"/>
              <w:numPr>
                <w:ilvl w:val="0"/>
                <w:numId w:val="9"/>
              </w:numPr>
              <w:spacing w:before="120" w:after="120" w:line="240" w:lineRule="auto"/>
              <w:ind w:left="357" w:hanging="357"/>
              <w:contextualSpacing w:val="0"/>
              <w:rPr>
                <w:rFonts w:ascii="Times New Roman" w:eastAsia="Times New Roman" w:hAnsi="Times New Roman" w:cs="Times New Roman"/>
                <w:color w:val="000000"/>
                <w:lang w:eastAsia="en-GB"/>
              </w:rPr>
            </w:pPr>
            <w:r w:rsidRPr="003E2129">
              <w:rPr>
                <w:rFonts w:ascii="Times New Roman" w:eastAsia="Times New Roman" w:hAnsi="Times New Roman" w:cs="Times New Roman"/>
                <w:color w:val="000000"/>
                <w:lang w:eastAsia="en-GB"/>
              </w:rPr>
              <w:t>The MET Services Providers should convene the meeting in a rotation cycle.</w:t>
            </w:r>
          </w:p>
        </w:tc>
        <w:tc>
          <w:tcPr>
            <w:tcW w:w="2126" w:type="dxa"/>
            <w:shd w:val="clear" w:color="auto" w:fill="auto"/>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Continuous improved service delivery to air operators</w:t>
            </w:r>
          </w:p>
        </w:tc>
        <w:tc>
          <w:tcPr>
            <w:tcW w:w="2936" w:type="dxa"/>
            <w:shd w:val="clear" w:color="auto" w:fill="auto"/>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States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Met Services Providers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CAA</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Airlines /Airlines Associations</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The Secretariat</w:t>
            </w:r>
          </w:p>
        </w:tc>
        <w:tc>
          <w:tcPr>
            <w:tcW w:w="1928" w:type="dxa"/>
            <w:shd w:val="clear" w:color="auto" w:fill="auto"/>
            <w:hideMark/>
          </w:tcPr>
          <w:p w:rsidR="003130B6" w:rsidRPr="003130B6" w:rsidRDefault="003130B6" w:rsidP="003130B6">
            <w:pPr>
              <w:spacing w:after="0" w:line="240" w:lineRule="auto"/>
              <w:ind w:firstLineChars="100" w:firstLine="220"/>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30/06/2022</w:t>
            </w:r>
          </w:p>
        </w:tc>
        <w:tc>
          <w:tcPr>
            <w:tcW w:w="3074" w:type="dxa"/>
            <w:shd w:val="clear" w:color="auto" w:fill="auto"/>
            <w:hideMark/>
          </w:tcPr>
          <w:p w:rsidR="003130B6" w:rsidRPr="003130B6" w:rsidRDefault="003130B6" w:rsidP="003E2129">
            <w:pPr>
              <w:spacing w:after="0" w:line="240" w:lineRule="auto"/>
              <w:rPr>
                <w:rFonts w:ascii="Times New Roman" w:eastAsia="Times New Roman" w:hAnsi="Times New Roman" w:cs="Times New Roman"/>
                <w:color w:val="000000"/>
                <w:lang w:eastAsia="en-GB"/>
              </w:rPr>
            </w:pPr>
            <w:r w:rsidRPr="003130B6">
              <w:rPr>
                <w:rFonts w:ascii="Times New Roman" w:eastAsia="Times New Roman" w:hAnsi="Times New Roman" w:cs="Times New Roman"/>
                <w:color w:val="000000"/>
                <w:lang w:eastAsia="en-GB"/>
              </w:rPr>
              <w:t>Regular meetings amongst the Authorities (MSP and ANSP) shall identify the challenges and recommends the remedial measures with instantaneous immediacy.</w:t>
            </w:r>
            <w:r w:rsidRPr="003130B6">
              <w:rPr>
                <w:rFonts w:ascii="Times New Roman" w:eastAsia="Times New Roman" w:hAnsi="Times New Roman" w:cs="Times New Roman"/>
                <w:color w:val="000000"/>
                <w:lang w:eastAsia="en-GB"/>
              </w:rPr>
              <w:br/>
            </w:r>
            <w:r w:rsidRPr="003130B6">
              <w:rPr>
                <w:rFonts w:ascii="Times New Roman" w:eastAsia="Times New Roman" w:hAnsi="Times New Roman" w:cs="Times New Roman"/>
                <w:color w:val="000000"/>
                <w:lang w:eastAsia="en-GB"/>
              </w:rPr>
              <w:br/>
              <w:t>The Secretariat need  to establish if each States are holding regular meetings with MSPs and ANSPs and encourage States who are not established these meetings to learn from those who are doing so.</w:t>
            </w:r>
          </w:p>
        </w:tc>
      </w:tr>
    </w:tbl>
    <w:p w:rsidR="003130B6" w:rsidRPr="003130B6" w:rsidRDefault="003130B6" w:rsidP="003130B6">
      <w:pPr>
        <w:rPr>
          <w:rFonts w:ascii="Times New Roman" w:hAnsi="Times New Roman" w:cs="Times New Roman"/>
        </w:rPr>
      </w:pPr>
    </w:p>
    <w:p w:rsidR="003130B6" w:rsidRDefault="003130B6" w:rsidP="00FE0AF3">
      <w:pPr>
        <w:jc w:val="both"/>
      </w:pPr>
    </w:p>
    <w:sectPr w:rsidR="003130B6" w:rsidSect="00FE0AF3">
      <w:headerReference w:type="default" r:id="rId10"/>
      <w:foot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B1A" w:rsidRDefault="00BC6B1A" w:rsidP="00FE0AF3">
      <w:pPr>
        <w:spacing w:after="0" w:line="240" w:lineRule="auto"/>
      </w:pPr>
      <w:r>
        <w:separator/>
      </w:r>
    </w:p>
  </w:endnote>
  <w:endnote w:type="continuationSeparator" w:id="0">
    <w:p w:rsidR="00BC6B1A" w:rsidRDefault="00BC6B1A" w:rsidP="00FE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457275"/>
      <w:docPartObj>
        <w:docPartGallery w:val="Page Numbers (Bottom of Page)"/>
        <w:docPartUnique/>
      </w:docPartObj>
    </w:sdtPr>
    <w:sdtEndPr>
      <w:rPr>
        <w:noProof/>
      </w:rPr>
    </w:sdtEndPr>
    <w:sdtContent>
      <w:p w:rsidR="00FE0AF3" w:rsidRDefault="00FE0AF3">
        <w:pPr>
          <w:pStyle w:val="Pieddepage"/>
          <w:jc w:val="right"/>
        </w:pPr>
        <w:r>
          <w:fldChar w:fldCharType="begin"/>
        </w:r>
        <w:r>
          <w:instrText xml:space="preserve"> PAGE   \* MERGEFORMAT </w:instrText>
        </w:r>
        <w:r>
          <w:fldChar w:fldCharType="separate"/>
        </w:r>
        <w:r w:rsidR="00BA37CC">
          <w:rPr>
            <w:noProof/>
          </w:rPr>
          <w:t>3</w:t>
        </w:r>
        <w:r>
          <w:rPr>
            <w:noProof/>
          </w:rPr>
          <w:fldChar w:fldCharType="end"/>
        </w:r>
      </w:p>
    </w:sdtContent>
  </w:sdt>
  <w:p w:rsidR="00FE0AF3" w:rsidRDefault="00FE0AF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B1A" w:rsidRDefault="00BC6B1A" w:rsidP="00FE0AF3">
      <w:pPr>
        <w:spacing w:after="0" w:line="240" w:lineRule="auto"/>
      </w:pPr>
      <w:r>
        <w:separator/>
      </w:r>
    </w:p>
  </w:footnote>
  <w:footnote w:type="continuationSeparator" w:id="0">
    <w:p w:rsidR="00BC6B1A" w:rsidRDefault="00BC6B1A" w:rsidP="00FE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0B6" w:rsidRDefault="003130B6">
    <w:pPr>
      <w:pStyle w:val="En-tte"/>
      <w:rPr>
        <w:b/>
      </w:rPr>
    </w:pPr>
    <w:r w:rsidRPr="00FE0AF3">
      <w:rPr>
        <w:rFonts w:ascii="Calibri" w:eastAsia="Times New Roman" w:hAnsi="Calibri" w:cs="Times New Roman"/>
        <w:noProof/>
        <w:color w:val="000000"/>
        <w:lang w:val="en-US"/>
      </w:rPr>
      <w:drawing>
        <wp:anchor distT="0" distB="0" distL="114300" distR="114300" simplePos="0" relativeHeight="251659264" behindDoc="0" locked="0" layoutInCell="1" allowOverlap="1" wp14:anchorId="26AF31D5" wp14:editId="2A177B5E">
          <wp:simplePos x="0" y="0"/>
          <wp:positionH relativeFrom="margin">
            <wp:align>left</wp:align>
          </wp:positionH>
          <wp:positionV relativeFrom="paragraph">
            <wp:posOffset>-1006</wp:posOffset>
          </wp:positionV>
          <wp:extent cx="1397479" cy="465826"/>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
                  <a:stretch>
                    <a:fillRect/>
                  </a:stretch>
                </pic:blipFill>
                <pic:spPr>
                  <a:xfrm>
                    <a:off x="0" y="0"/>
                    <a:ext cx="1397479" cy="465826"/>
                  </a:xfrm>
                  <a:prstGeom prst="rect">
                    <a:avLst/>
                  </a:prstGeom>
                </pic:spPr>
              </pic:pic>
            </a:graphicData>
          </a:graphic>
          <wp14:sizeRelH relativeFrom="page">
            <wp14:pctWidth>0</wp14:pctWidth>
          </wp14:sizeRelH>
          <wp14:sizeRelV relativeFrom="page">
            <wp14:pctHeight>0</wp14:pctHeight>
          </wp14:sizeRelV>
        </wp:anchor>
      </w:drawing>
    </w:r>
    <w:r w:rsidR="00FE0AF3" w:rsidRPr="00FE0AF3">
      <w:rPr>
        <w:b/>
      </w:rPr>
      <w:ptab w:relativeTo="margin" w:alignment="center" w:leader="none"/>
    </w:r>
  </w:p>
  <w:p w:rsidR="003130B6" w:rsidRDefault="003130B6">
    <w:pPr>
      <w:pStyle w:val="En-tte"/>
      <w:rPr>
        <w:b/>
      </w:rPr>
    </w:pPr>
  </w:p>
  <w:p w:rsidR="003130B6" w:rsidRPr="00FE0AF3" w:rsidRDefault="003130B6" w:rsidP="003130B6">
    <w:pPr>
      <w:pStyle w:val="En-tte"/>
      <w:rPr>
        <w:b/>
      </w:rPr>
    </w:pPr>
    <w:r w:rsidRPr="00FE0AF3">
      <w:rPr>
        <w:b/>
      </w:rPr>
      <w:ptab w:relativeTo="margin" w:alignment="right" w:leader="none"/>
    </w:r>
    <w:r w:rsidR="00711F2B">
      <w:rPr>
        <w:b/>
      </w:rPr>
      <w:t>IIM/SG4 Appendix E2</w:t>
    </w:r>
  </w:p>
  <w:p w:rsidR="003130B6" w:rsidRDefault="003130B6" w:rsidP="003130B6">
    <w:pPr>
      <w:pStyle w:val="En-tte"/>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D4F0B"/>
    <w:multiLevelType w:val="hybridMultilevel"/>
    <w:tmpl w:val="1BB097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756A00"/>
    <w:multiLevelType w:val="hybridMultilevel"/>
    <w:tmpl w:val="C3E4B58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C25425"/>
    <w:multiLevelType w:val="hybridMultilevel"/>
    <w:tmpl w:val="A5AA054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7A7A0D"/>
    <w:multiLevelType w:val="hybridMultilevel"/>
    <w:tmpl w:val="125A5B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DF96C60"/>
    <w:multiLevelType w:val="hybridMultilevel"/>
    <w:tmpl w:val="CCBC032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2D10CA"/>
    <w:multiLevelType w:val="hybridMultilevel"/>
    <w:tmpl w:val="6F4C296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3118BA"/>
    <w:multiLevelType w:val="hybridMultilevel"/>
    <w:tmpl w:val="C0563E5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BD0B2D"/>
    <w:multiLevelType w:val="hybridMultilevel"/>
    <w:tmpl w:val="E56A965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0857C8"/>
    <w:multiLevelType w:val="hybridMultilevel"/>
    <w:tmpl w:val="B8A65AD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4A16FA3"/>
    <w:multiLevelType w:val="hybridMultilevel"/>
    <w:tmpl w:val="3C562C1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4E749A2"/>
    <w:multiLevelType w:val="hybridMultilevel"/>
    <w:tmpl w:val="39A4D36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19A6153"/>
    <w:multiLevelType w:val="hybridMultilevel"/>
    <w:tmpl w:val="0998877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BA82A77"/>
    <w:multiLevelType w:val="hybridMultilevel"/>
    <w:tmpl w:val="F3FEF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8"/>
  </w:num>
  <w:num w:numId="5">
    <w:abstractNumId w:val="0"/>
  </w:num>
  <w:num w:numId="6">
    <w:abstractNumId w:val="12"/>
  </w:num>
  <w:num w:numId="7">
    <w:abstractNumId w:val="4"/>
  </w:num>
  <w:num w:numId="8">
    <w:abstractNumId w:val="7"/>
  </w:num>
  <w:num w:numId="9">
    <w:abstractNumId w:val="2"/>
  </w:num>
  <w:num w:numId="10">
    <w:abstractNumId w:val="3"/>
  </w:num>
  <w:num w:numId="11">
    <w:abstractNumId w:val="11"/>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AF3"/>
    <w:rsid w:val="000A1830"/>
    <w:rsid w:val="003130B6"/>
    <w:rsid w:val="003E2129"/>
    <w:rsid w:val="004868B1"/>
    <w:rsid w:val="00711F2B"/>
    <w:rsid w:val="00A4709F"/>
    <w:rsid w:val="00A72F0E"/>
    <w:rsid w:val="00BA37CC"/>
    <w:rsid w:val="00BC6B1A"/>
    <w:rsid w:val="00CB76C2"/>
    <w:rsid w:val="00EA357D"/>
    <w:rsid w:val="00FE0AF3"/>
    <w:rsid w:val="00FF7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9BDD5B"/>
  <w15:chartTrackingRefBased/>
  <w15:docId w15:val="{D2B69BC6-F93F-4417-8041-B09C122E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E0AF3"/>
    <w:pPr>
      <w:tabs>
        <w:tab w:val="center" w:pos="4513"/>
        <w:tab w:val="right" w:pos="9026"/>
      </w:tabs>
      <w:spacing w:after="0" w:line="240" w:lineRule="auto"/>
    </w:pPr>
  </w:style>
  <w:style w:type="character" w:customStyle="1" w:styleId="En-tteCar">
    <w:name w:val="En-tête Car"/>
    <w:basedOn w:val="Policepardfaut"/>
    <w:link w:val="En-tte"/>
    <w:uiPriority w:val="99"/>
    <w:rsid w:val="00FE0AF3"/>
  </w:style>
  <w:style w:type="paragraph" w:styleId="Pieddepage">
    <w:name w:val="footer"/>
    <w:basedOn w:val="Normal"/>
    <w:link w:val="PieddepageCar"/>
    <w:uiPriority w:val="99"/>
    <w:unhideWhenUsed/>
    <w:rsid w:val="00FE0AF3"/>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FE0AF3"/>
  </w:style>
  <w:style w:type="paragraph" w:styleId="Paragraphedeliste">
    <w:name w:val="List Paragraph"/>
    <w:basedOn w:val="Normal"/>
    <w:uiPriority w:val="34"/>
    <w:qFormat/>
    <w:rsid w:val="003130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00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A2632CBF7CE74B978CA992D494DE4B" ma:contentTypeVersion="6" ma:contentTypeDescription="Crée un document." ma:contentTypeScope="" ma:versionID="6c18db0c8b057477a586756d09ad4190">
  <xsd:schema xmlns:xsd="http://www.w3.org/2001/XMLSchema" xmlns:xs="http://www.w3.org/2001/XMLSchema" xmlns:p="http://schemas.microsoft.com/office/2006/metadata/properties" xmlns:ns2="1a4aa1dd-9443-48ef-9471-5b088b6e66bf" xmlns:ns3="365b10be-fcc5-4835-b94d-18e5f0cda077" targetNamespace="http://schemas.microsoft.com/office/2006/metadata/properties" ma:root="true" ma:fieldsID="43832116ee512033905d65ed2df04f50" ns2:_="" ns3:_="">
    <xsd:import namespace="1a4aa1dd-9443-48ef-9471-5b088b6e66bf"/>
    <xsd:import namespace="365b10be-fcc5-4835-b94d-18e5f0cda0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aa1dd-9443-48ef-9471-5b088b6e6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5b10be-fcc5-4835-b94d-18e5f0cda0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7BFCD5-0BBB-41F8-A9A1-8F6BE1E400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2E1336-E4C9-4A3E-A27A-475521E04B21}">
  <ds:schemaRefs>
    <ds:schemaRef ds:uri="http://schemas.microsoft.com/sharepoint/v3/contenttype/forms"/>
  </ds:schemaRefs>
</ds:datastoreItem>
</file>

<file path=customXml/itemProps3.xml><?xml version="1.0" encoding="utf-8"?>
<ds:datastoreItem xmlns:ds="http://schemas.openxmlformats.org/officeDocument/2006/customXml" ds:itemID="{695CF916-74CA-4BA5-A027-0A4D68AA7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aa1dd-9443-48ef-9471-5b088b6e66bf"/>
    <ds:schemaRef ds:uri="365b10be-fcc5-4835-b94d-18e5f0cda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1428</Words>
  <Characters>8146</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Chinga, Mazhetese</dc:creator>
  <cp:keywords/>
  <dc:description/>
  <cp:lastModifiedBy>ILBOUDO, Goama</cp:lastModifiedBy>
  <cp:revision>7</cp:revision>
  <dcterms:created xsi:type="dcterms:W3CDTF">2021-08-17T10:01:00Z</dcterms:created>
  <dcterms:modified xsi:type="dcterms:W3CDTF">2021-09-27T13:25:00Z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0x010100E6A2632CBF7CE74B978CA992D494DE4B</vt:lpwstr>
  </property>
</Properties>
</file>